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024A" w14:textId="7E12F06C" w:rsidR="002E33A1" w:rsidRPr="00371C4E" w:rsidRDefault="002E33A1" w:rsidP="001C3CE3">
      <w:pPr>
        <w:jc w:val="both"/>
        <w:rPr>
          <w:rFonts w:ascii="Verdana" w:hAnsi="Verdana"/>
          <w:b/>
          <w:bCs/>
          <w:sz w:val="24"/>
          <w:szCs w:val="24"/>
          <w:lang w:val="es-ES"/>
        </w:rPr>
      </w:pPr>
      <w:r w:rsidRPr="00371C4E">
        <w:rPr>
          <w:rFonts w:ascii="Verdana" w:hAnsi="Verdana"/>
          <w:b/>
          <w:bCs/>
          <w:sz w:val="24"/>
          <w:szCs w:val="24"/>
          <w:lang w:val="es-ES"/>
        </w:rPr>
        <w:t xml:space="preserve">AL TRIBUNAL ECONÓMICO-ADMINISTRATIVO MUNICIPAL DE </w:t>
      </w:r>
      <w:r w:rsidR="00BF3E59" w:rsidRPr="00371C4E">
        <w:rPr>
          <w:rFonts w:ascii="Verdana" w:hAnsi="Verdana"/>
          <w:sz w:val="24"/>
          <w:szCs w:val="24"/>
          <w:lang w:val="es-ES"/>
        </w:rPr>
        <w:t>[</w:t>
      </w:r>
      <w:r w:rsidR="005A2B30">
        <w:rPr>
          <w:rFonts w:ascii="Verdana" w:hAnsi="Verdana"/>
          <w:sz w:val="24"/>
          <w:szCs w:val="24"/>
          <w:lang w:val="es-ES"/>
        </w:rPr>
        <w:t>Localidad</w:t>
      </w:r>
      <w:r w:rsidR="00BF3E59" w:rsidRPr="00371C4E">
        <w:rPr>
          <w:rFonts w:ascii="Verdana" w:hAnsi="Verdana"/>
          <w:sz w:val="24"/>
          <w:szCs w:val="24"/>
          <w:lang w:val="es-ES"/>
        </w:rPr>
        <w:t>],</w:t>
      </w:r>
      <w:r w:rsidR="005A2B30">
        <w:rPr>
          <w:rFonts w:ascii="Verdana" w:hAnsi="Verdana"/>
          <w:sz w:val="24"/>
          <w:szCs w:val="24"/>
          <w:lang w:val="es-ES"/>
        </w:rPr>
        <w:t xml:space="preserve"> </w:t>
      </w:r>
      <w:r w:rsidR="005A2B30" w:rsidRPr="00371C4E">
        <w:rPr>
          <w:rFonts w:ascii="Verdana" w:hAnsi="Verdana"/>
          <w:sz w:val="24"/>
          <w:szCs w:val="24"/>
          <w:lang w:val="es-ES"/>
        </w:rPr>
        <w:t>[</w:t>
      </w:r>
      <w:r w:rsidR="009E1175">
        <w:rPr>
          <w:rFonts w:ascii="Verdana" w:hAnsi="Verdana"/>
          <w:sz w:val="24"/>
          <w:szCs w:val="24"/>
          <w:lang w:val="es-ES"/>
        </w:rPr>
        <w:t>Domicilio del ayuntamiento</w:t>
      </w:r>
      <w:r w:rsidR="005A2B30" w:rsidRPr="00371C4E">
        <w:rPr>
          <w:rFonts w:ascii="Verdana" w:hAnsi="Verdana"/>
          <w:sz w:val="24"/>
          <w:szCs w:val="24"/>
          <w:lang w:val="es-ES"/>
        </w:rPr>
        <w:t>]</w:t>
      </w:r>
      <w:r w:rsidR="009E1175">
        <w:rPr>
          <w:rFonts w:ascii="Verdana" w:hAnsi="Verdana"/>
          <w:sz w:val="24"/>
          <w:szCs w:val="24"/>
          <w:lang w:val="es-ES"/>
        </w:rPr>
        <w:t>.</w:t>
      </w:r>
    </w:p>
    <w:p w14:paraId="4A6EFA15" w14:textId="77777777" w:rsidR="00371C4E" w:rsidRDefault="00371C4E" w:rsidP="001C3CE3">
      <w:pPr>
        <w:jc w:val="both"/>
        <w:rPr>
          <w:rFonts w:ascii="Verdana" w:hAnsi="Verdana"/>
          <w:sz w:val="24"/>
          <w:szCs w:val="24"/>
          <w:lang w:val="es-ES"/>
        </w:rPr>
      </w:pPr>
    </w:p>
    <w:p w14:paraId="4947661D" w14:textId="377624CF" w:rsidR="008E559C" w:rsidRPr="00371C4E" w:rsidRDefault="008B6160" w:rsidP="001C3CE3">
      <w:pPr>
        <w:jc w:val="both"/>
        <w:rPr>
          <w:rFonts w:ascii="Verdana" w:hAnsi="Verdana"/>
          <w:sz w:val="24"/>
          <w:szCs w:val="24"/>
          <w:lang w:val="es-ES"/>
        </w:rPr>
      </w:pPr>
      <w:r w:rsidRPr="00371C4E">
        <w:rPr>
          <w:rFonts w:ascii="Verdana" w:hAnsi="Verdana"/>
          <w:sz w:val="24"/>
          <w:szCs w:val="24"/>
          <w:lang w:val="es-ES"/>
        </w:rPr>
        <w:t>D./Dña. [</w:t>
      </w:r>
      <w:r w:rsidRPr="00371C4E">
        <w:rPr>
          <w:rFonts w:ascii="Verdana" w:hAnsi="Verdana"/>
          <w:sz w:val="24"/>
          <w:szCs w:val="24"/>
          <w:highlight w:val="lightGray"/>
          <w:lang w:val="es-ES"/>
        </w:rPr>
        <w:t>Nombre y apellidos</w:t>
      </w:r>
      <w:r w:rsidRPr="00371C4E">
        <w:rPr>
          <w:rFonts w:ascii="Verdana" w:hAnsi="Verdana"/>
          <w:sz w:val="24"/>
          <w:szCs w:val="24"/>
          <w:lang w:val="es-ES"/>
        </w:rPr>
        <w:t>], con DNI [</w:t>
      </w:r>
      <w:r w:rsidRPr="00371C4E">
        <w:rPr>
          <w:rFonts w:ascii="Verdana" w:hAnsi="Verdana"/>
          <w:sz w:val="24"/>
          <w:szCs w:val="24"/>
          <w:highlight w:val="lightGray"/>
          <w:lang w:val="es-ES"/>
        </w:rPr>
        <w:t>número</w:t>
      </w:r>
      <w:r w:rsidRPr="00371C4E">
        <w:rPr>
          <w:rFonts w:ascii="Verdana" w:hAnsi="Verdana"/>
          <w:sz w:val="24"/>
          <w:szCs w:val="24"/>
          <w:lang w:val="es-ES"/>
        </w:rPr>
        <w:t>], y domicilio a efectos de notificaciones en [</w:t>
      </w:r>
      <w:r w:rsidRPr="00371C4E">
        <w:rPr>
          <w:rFonts w:ascii="Verdana" w:hAnsi="Verdana"/>
          <w:sz w:val="24"/>
          <w:szCs w:val="24"/>
          <w:highlight w:val="lightGray"/>
          <w:lang w:val="es-ES"/>
        </w:rPr>
        <w:t>dirección completa</w:t>
      </w:r>
      <w:r w:rsidRPr="00371C4E">
        <w:rPr>
          <w:rFonts w:ascii="Verdana" w:hAnsi="Verdana"/>
          <w:sz w:val="24"/>
          <w:szCs w:val="24"/>
          <w:lang w:val="es-ES"/>
        </w:rPr>
        <w:t>], ante este Tribunal comparece y, como mejor proceda en Derecho,</w:t>
      </w:r>
    </w:p>
    <w:p w14:paraId="234B810B" w14:textId="77777777" w:rsidR="00167AFD" w:rsidRPr="00371C4E" w:rsidRDefault="008B6160" w:rsidP="001C3CE3">
      <w:pPr>
        <w:jc w:val="both"/>
        <w:rPr>
          <w:rFonts w:ascii="Verdana" w:hAnsi="Verdana"/>
          <w:b/>
          <w:bCs/>
          <w:sz w:val="24"/>
          <w:szCs w:val="24"/>
          <w:lang w:val="es-ES"/>
        </w:rPr>
      </w:pPr>
      <w:r w:rsidRPr="00371C4E">
        <w:rPr>
          <w:rFonts w:ascii="Verdana" w:hAnsi="Verdana"/>
          <w:b/>
          <w:bCs/>
          <w:sz w:val="24"/>
          <w:szCs w:val="24"/>
          <w:lang w:val="es-ES"/>
        </w:rPr>
        <w:t>EXPONE:</w:t>
      </w:r>
    </w:p>
    <w:p w14:paraId="55CA8411" w14:textId="1CB9E9D0" w:rsidR="008E559C" w:rsidRPr="00371C4E" w:rsidRDefault="008B6160" w:rsidP="001C3CE3">
      <w:pPr>
        <w:jc w:val="both"/>
        <w:rPr>
          <w:rFonts w:ascii="Verdana" w:hAnsi="Verdana"/>
          <w:b/>
          <w:bCs/>
          <w:sz w:val="24"/>
          <w:szCs w:val="24"/>
          <w:lang w:val="es-ES"/>
        </w:rPr>
      </w:pPr>
      <w:r w:rsidRPr="00371C4E">
        <w:rPr>
          <w:rFonts w:ascii="Verdana" w:hAnsi="Verdana"/>
          <w:b/>
          <w:bCs/>
          <w:sz w:val="24"/>
          <w:szCs w:val="24"/>
          <w:lang w:val="es-ES"/>
        </w:rPr>
        <w:t>FUNDAMENTOS DE HECHO</w:t>
      </w:r>
    </w:p>
    <w:p w14:paraId="5539555E" w14:textId="3A38017F" w:rsidR="008E559C" w:rsidRPr="00371C4E" w:rsidRDefault="00371C4E" w:rsidP="001C3CE3">
      <w:pPr>
        <w:jc w:val="both"/>
        <w:rPr>
          <w:rFonts w:ascii="Verdana" w:hAnsi="Verdana"/>
          <w:sz w:val="24"/>
          <w:szCs w:val="24"/>
          <w:lang w:val="es-ES"/>
        </w:rPr>
      </w:pPr>
      <w:r w:rsidRPr="00371C4E">
        <w:rPr>
          <w:rFonts w:ascii="Verdana" w:hAnsi="Verdana"/>
          <w:b/>
          <w:bCs/>
          <w:sz w:val="24"/>
          <w:szCs w:val="24"/>
          <w:lang w:val="es-ES"/>
        </w:rPr>
        <w:t>Primero</w:t>
      </w:r>
      <w:r w:rsidRPr="00371C4E">
        <w:rPr>
          <w:rFonts w:ascii="Verdana" w:hAnsi="Verdana"/>
          <w:sz w:val="24"/>
          <w:szCs w:val="24"/>
          <w:lang w:val="es-ES"/>
        </w:rPr>
        <w:t>. -</w:t>
      </w:r>
      <w:r w:rsidR="008B6160" w:rsidRPr="00371C4E">
        <w:rPr>
          <w:rFonts w:ascii="Verdana" w:hAnsi="Verdana"/>
          <w:sz w:val="24"/>
          <w:szCs w:val="24"/>
          <w:lang w:val="es-ES"/>
        </w:rPr>
        <w:t xml:space="preserve"> Que con fecha [</w:t>
      </w:r>
      <w:r w:rsidR="008B6160" w:rsidRPr="00371C4E">
        <w:rPr>
          <w:rFonts w:ascii="Verdana" w:hAnsi="Verdana"/>
          <w:sz w:val="24"/>
          <w:szCs w:val="24"/>
          <w:highlight w:val="lightGray"/>
          <w:lang w:val="es-ES"/>
        </w:rPr>
        <w:t>indicar fecha de notificación</w:t>
      </w:r>
      <w:r w:rsidR="008B6160" w:rsidRPr="00371C4E">
        <w:rPr>
          <w:rFonts w:ascii="Verdana" w:hAnsi="Verdana"/>
          <w:sz w:val="24"/>
          <w:szCs w:val="24"/>
          <w:lang w:val="es-ES"/>
        </w:rPr>
        <w:t xml:space="preserve">], le ha sido notificada la liquidación de la Tasa por Prestación del Servicio de Gestión de Residuos Urbanos, </w:t>
      </w:r>
      <w:r w:rsidR="00AD1AC3" w:rsidRPr="00371C4E">
        <w:rPr>
          <w:rFonts w:ascii="Verdana" w:hAnsi="Verdana"/>
          <w:sz w:val="24"/>
          <w:szCs w:val="24"/>
          <w:lang w:val="es-ES"/>
        </w:rPr>
        <w:t>con número de referencia [</w:t>
      </w:r>
      <w:r w:rsidR="00AD1AC3" w:rsidRPr="00371C4E">
        <w:rPr>
          <w:rFonts w:ascii="Verdana" w:hAnsi="Verdana"/>
          <w:sz w:val="24"/>
          <w:szCs w:val="24"/>
          <w:highlight w:val="lightGray"/>
          <w:lang w:val="es-ES"/>
        </w:rPr>
        <w:t>XXXXX</w:t>
      </w:r>
      <w:r w:rsidR="00AD1AC3" w:rsidRPr="00371C4E">
        <w:rPr>
          <w:rFonts w:ascii="Verdana" w:hAnsi="Verdana"/>
          <w:sz w:val="24"/>
          <w:szCs w:val="24"/>
          <w:lang w:val="es-ES"/>
        </w:rPr>
        <w:t xml:space="preserve">] </w:t>
      </w:r>
      <w:r w:rsidR="008B6160" w:rsidRPr="00371C4E">
        <w:rPr>
          <w:rFonts w:ascii="Verdana" w:hAnsi="Verdana"/>
          <w:sz w:val="24"/>
          <w:szCs w:val="24"/>
          <w:lang w:val="es-ES"/>
        </w:rPr>
        <w:t>correspondiente al ejercicio</w:t>
      </w:r>
      <w:r w:rsidR="00AD1AC3" w:rsidRPr="00371C4E">
        <w:rPr>
          <w:rFonts w:ascii="Verdana" w:hAnsi="Verdana"/>
          <w:sz w:val="24"/>
          <w:szCs w:val="24"/>
          <w:lang w:val="es-ES"/>
        </w:rPr>
        <w:t xml:space="preserve"> 2025</w:t>
      </w:r>
      <w:r w:rsidR="008B6160" w:rsidRPr="00371C4E">
        <w:rPr>
          <w:rFonts w:ascii="Verdana" w:hAnsi="Verdana"/>
          <w:sz w:val="24"/>
          <w:szCs w:val="24"/>
          <w:lang w:val="es-ES"/>
        </w:rPr>
        <w:t xml:space="preserve">, emitida por el Ayuntamiento de </w:t>
      </w:r>
      <w:r w:rsidR="0081092B" w:rsidRPr="00371C4E">
        <w:rPr>
          <w:rFonts w:ascii="Verdana" w:hAnsi="Verdana"/>
          <w:sz w:val="24"/>
          <w:szCs w:val="24"/>
          <w:lang w:val="es-ES"/>
        </w:rPr>
        <w:t>[</w:t>
      </w:r>
      <w:r w:rsidR="0081092B">
        <w:rPr>
          <w:rFonts w:ascii="Verdana" w:hAnsi="Verdana"/>
          <w:sz w:val="24"/>
          <w:szCs w:val="24"/>
          <w:lang w:val="es-ES"/>
        </w:rPr>
        <w:t>localidad</w:t>
      </w:r>
      <w:r w:rsidR="0081092B" w:rsidRPr="00371C4E">
        <w:rPr>
          <w:rFonts w:ascii="Verdana" w:hAnsi="Verdana"/>
          <w:sz w:val="24"/>
          <w:szCs w:val="24"/>
          <w:lang w:val="es-ES"/>
        </w:rPr>
        <w:t>]</w:t>
      </w:r>
      <w:r w:rsidR="008B6160" w:rsidRPr="00371C4E">
        <w:rPr>
          <w:rFonts w:ascii="Verdana" w:hAnsi="Verdana"/>
          <w:sz w:val="24"/>
          <w:szCs w:val="24"/>
          <w:lang w:val="es-ES"/>
        </w:rPr>
        <w:t>, por un importe de [importe] euros</w:t>
      </w:r>
      <w:r w:rsidR="00FA4F29" w:rsidRPr="00371C4E">
        <w:rPr>
          <w:rFonts w:ascii="Verdana" w:hAnsi="Verdana"/>
          <w:sz w:val="24"/>
          <w:szCs w:val="24"/>
          <w:lang w:val="es-ES"/>
        </w:rPr>
        <w:t xml:space="preserve">, </w:t>
      </w:r>
      <w:r w:rsidR="00562A40" w:rsidRPr="00371C4E">
        <w:rPr>
          <w:rFonts w:ascii="Verdana" w:hAnsi="Verdana"/>
          <w:sz w:val="24"/>
          <w:szCs w:val="24"/>
          <w:lang w:val="es-ES"/>
        </w:rPr>
        <w:t>aplicable a inmuebles de uso residencial.</w:t>
      </w:r>
    </w:p>
    <w:p w14:paraId="5588BA94" w14:textId="3458F718" w:rsidR="00817D84" w:rsidRPr="00371C4E" w:rsidRDefault="00371C4E" w:rsidP="001C3CE3">
      <w:pPr>
        <w:jc w:val="both"/>
        <w:rPr>
          <w:rFonts w:ascii="Verdana" w:hAnsi="Verdana"/>
          <w:sz w:val="24"/>
          <w:szCs w:val="24"/>
          <w:lang w:val="es-ES"/>
        </w:rPr>
      </w:pPr>
      <w:r w:rsidRPr="00371C4E">
        <w:rPr>
          <w:rFonts w:ascii="Verdana" w:hAnsi="Verdana"/>
          <w:b/>
          <w:bCs/>
          <w:sz w:val="24"/>
          <w:szCs w:val="24"/>
          <w:lang w:val="es-ES"/>
        </w:rPr>
        <w:t>Segundo. -</w:t>
      </w:r>
      <w:r w:rsidR="008B6160" w:rsidRPr="00371C4E">
        <w:rPr>
          <w:rFonts w:ascii="Verdana" w:hAnsi="Verdana"/>
          <w:sz w:val="24"/>
          <w:szCs w:val="24"/>
          <w:lang w:val="es-ES"/>
        </w:rPr>
        <w:t xml:space="preserve"> Que no estando conforme con</w:t>
      </w:r>
      <w:r w:rsidR="00DA52F0" w:rsidRPr="00371C4E">
        <w:rPr>
          <w:rFonts w:ascii="Verdana" w:hAnsi="Verdana"/>
          <w:sz w:val="24"/>
          <w:szCs w:val="24"/>
          <w:lang w:val="es-ES"/>
        </w:rPr>
        <w:t xml:space="preserve"> </w:t>
      </w:r>
      <w:r w:rsidR="008B6160" w:rsidRPr="00371C4E">
        <w:rPr>
          <w:rFonts w:ascii="Verdana" w:hAnsi="Verdana"/>
          <w:sz w:val="24"/>
          <w:szCs w:val="24"/>
          <w:lang w:val="es-ES"/>
        </w:rPr>
        <w:t xml:space="preserve">dicha liquidación, interpone mediante el presente escrito reclamación económico-administrativa </w:t>
      </w:r>
      <w:r w:rsidR="00817D84" w:rsidRPr="00371C4E">
        <w:rPr>
          <w:rFonts w:ascii="Verdana" w:hAnsi="Verdana"/>
          <w:sz w:val="24"/>
          <w:szCs w:val="24"/>
          <w:lang w:val="es-ES"/>
        </w:rPr>
        <w:t xml:space="preserve">de conformidad con lo dispuesto en el artículo </w:t>
      </w:r>
      <w:r w:rsidR="00404882" w:rsidRPr="00371C4E">
        <w:rPr>
          <w:rFonts w:ascii="Verdana" w:hAnsi="Verdana"/>
          <w:sz w:val="24"/>
          <w:szCs w:val="24"/>
          <w:lang w:val="es-ES"/>
        </w:rPr>
        <w:t>[</w:t>
      </w:r>
      <w:r w:rsidR="00404882" w:rsidRPr="00371C4E">
        <w:rPr>
          <w:rFonts w:ascii="Verdana" w:hAnsi="Verdana"/>
          <w:sz w:val="24"/>
          <w:szCs w:val="24"/>
          <w:highlight w:val="lightGray"/>
          <w:lang w:val="es-ES"/>
        </w:rPr>
        <w:t>XXXXX</w:t>
      </w:r>
      <w:r w:rsidR="00404882" w:rsidRPr="00371C4E">
        <w:rPr>
          <w:rFonts w:ascii="Verdana" w:hAnsi="Verdana"/>
          <w:sz w:val="24"/>
          <w:szCs w:val="24"/>
          <w:lang w:val="es-ES"/>
        </w:rPr>
        <w:t xml:space="preserve">] </w:t>
      </w:r>
      <w:proofErr w:type="gramStart"/>
      <w:r w:rsidR="0054164B">
        <w:rPr>
          <w:rFonts w:ascii="Verdana" w:hAnsi="Verdana"/>
          <w:sz w:val="24"/>
          <w:szCs w:val="24"/>
          <w:lang w:val="es-ES"/>
        </w:rPr>
        <w:t xml:space="preserve">del </w:t>
      </w:r>
      <w:r w:rsidR="00817D84" w:rsidRPr="00371C4E">
        <w:rPr>
          <w:rFonts w:ascii="Verdana" w:hAnsi="Verdana"/>
          <w:sz w:val="24"/>
          <w:szCs w:val="24"/>
          <w:lang w:val="es-ES"/>
        </w:rPr>
        <w:t xml:space="preserve"> Reglamento</w:t>
      </w:r>
      <w:proofErr w:type="gramEnd"/>
      <w:r w:rsidR="00817D84" w:rsidRPr="00371C4E">
        <w:rPr>
          <w:rFonts w:ascii="Verdana" w:hAnsi="Verdana"/>
          <w:sz w:val="24"/>
          <w:szCs w:val="24"/>
          <w:lang w:val="es-ES"/>
        </w:rPr>
        <w:t xml:space="preserve"> Orgánico del Tribunal Económico-Administrativo Municipal del Ayuntamiento de </w:t>
      </w:r>
      <w:r w:rsidR="0054164B" w:rsidRPr="00371C4E">
        <w:rPr>
          <w:rFonts w:ascii="Verdana" w:hAnsi="Verdana"/>
          <w:sz w:val="24"/>
          <w:szCs w:val="24"/>
          <w:lang w:val="es-ES"/>
        </w:rPr>
        <w:t>[</w:t>
      </w:r>
      <w:r w:rsidR="00D67252">
        <w:rPr>
          <w:rFonts w:ascii="Verdana" w:hAnsi="Verdana"/>
          <w:sz w:val="24"/>
          <w:szCs w:val="24"/>
          <w:lang w:val="es-ES"/>
        </w:rPr>
        <w:t>Localidad</w:t>
      </w:r>
      <w:r w:rsidR="0054164B" w:rsidRPr="00371C4E">
        <w:rPr>
          <w:rFonts w:ascii="Verdana" w:hAnsi="Verdana"/>
          <w:sz w:val="24"/>
          <w:szCs w:val="24"/>
          <w:lang w:val="es-ES"/>
        </w:rPr>
        <w:t>]</w:t>
      </w:r>
      <w:r w:rsidR="00817D84" w:rsidRPr="00371C4E">
        <w:rPr>
          <w:rFonts w:ascii="Verdana" w:hAnsi="Verdana"/>
          <w:sz w:val="24"/>
          <w:szCs w:val="24"/>
          <w:lang w:val="es-ES"/>
        </w:rPr>
        <w:t>, de fech</w:t>
      </w:r>
      <w:r w:rsidR="00D67252">
        <w:rPr>
          <w:rFonts w:ascii="Verdana" w:hAnsi="Verdana"/>
          <w:sz w:val="24"/>
          <w:szCs w:val="24"/>
          <w:lang w:val="es-ES"/>
        </w:rPr>
        <w:t xml:space="preserve">a </w:t>
      </w:r>
      <w:r w:rsidR="00D67252" w:rsidRPr="00371C4E">
        <w:rPr>
          <w:rFonts w:ascii="Verdana" w:hAnsi="Verdana"/>
          <w:sz w:val="24"/>
          <w:szCs w:val="24"/>
          <w:lang w:val="es-ES"/>
        </w:rPr>
        <w:t>[</w:t>
      </w:r>
      <w:r w:rsidR="00D67252" w:rsidRPr="00371C4E">
        <w:rPr>
          <w:rFonts w:ascii="Verdana" w:hAnsi="Verdana"/>
          <w:sz w:val="24"/>
          <w:szCs w:val="24"/>
          <w:highlight w:val="lightGray"/>
          <w:lang w:val="es-ES"/>
        </w:rPr>
        <w:t>XXXXX</w:t>
      </w:r>
      <w:r w:rsidR="00D67252" w:rsidRPr="00371C4E">
        <w:rPr>
          <w:rFonts w:ascii="Verdana" w:hAnsi="Verdana"/>
          <w:sz w:val="24"/>
          <w:szCs w:val="24"/>
          <w:lang w:val="es-ES"/>
        </w:rPr>
        <w:t>]</w:t>
      </w:r>
      <w:r w:rsidR="00A96A34" w:rsidRPr="00371C4E">
        <w:rPr>
          <w:rFonts w:ascii="Verdana" w:hAnsi="Verdana"/>
          <w:sz w:val="24"/>
          <w:szCs w:val="24"/>
          <w:lang w:val="es-ES"/>
        </w:rPr>
        <w:t xml:space="preserve">, </w:t>
      </w:r>
      <w:r w:rsidR="00336166" w:rsidRPr="00371C4E">
        <w:rPr>
          <w:rFonts w:ascii="Verdana" w:hAnsi="Verdana"/>
          <w:sz w:val="24"/>
          <w:szCs w:val="24"/>
          <w:lang w:val="es-ES"/>
        </w:rPr>
        <w:t xml:space="preserve">y declara </w:t>
      </w:r>
      <w:r w:rsidR="00817D84" w:rsidRPr="00371C4E">
        <w:rPr>
          <w:rFonts w:ascii="Verdana" w:hAnsi="Verdana"/>
          <w:sz w:val="24"/>
          <w:szCs w:val="24"/>
          <w:lang w:val="es-ES"/>
        </w:rPr>
        <w:t>no haber interpuesto recurso potestativo de reposición contra la liquidación ahora impugnada.</w:t>
      </w:r>
    </w:p>
    <w:p w14:paraId="636FB11B" w14:textId="4FB15D86" w:rsidR="008E559C" w:rsidRPr="00371C4E" w:rsidRDefault="00371C4E" w:rsidP="001C3CE3">
      <w:pPr>
        <w:jc w:val="both"/>
        <w:rPr>
          <w:rFonts w:ascii="Verdana" w:hAnsi="Verdana"/>
          <w:sz w:val="24"/>
          <w:szCs w:val="24"/>
          <w:lang w:val="es-ES"/>
        </w:rPr>
      </w:pPr>
      <w:r w:rsidRPr="00371C4E">
        <w:rPr>
          <w:rFonts w:ascii="Verdana" w:hAnsi="Verdana"/>
          <w:b/>
          <w:bCs/>
          <w:sz w:val="24"/>
          <w:szCs w:val="24"/>
          <w:lang w:val="es-ES"/>
        </w:rPr>
        <w:t>Tercero. -</w:t>
      </w:r>
      <w:r w:rsidR="008B6160" w:rsidRPr="00371C4E">
        <w:rPr>
          <w:rFonts w:ascii="Verdana" w:hAnsi="Verdana"/>
          <w:sz w:val="24"/>
          <w:szCs w:val="24"/>
          <w:lang w:val="es-ES"/>
        </w:rPr>
        <w:t xml:space="preserve"> El importe de la cuota de la tasa se ha determinado</w:t>
      </w:r>
      <w:r w:rsidR="00562A40" w:rsidRPr="00371C4E">
        <w:rPr>
          <w:rFonts w:ascii="Verdana" w:hAnsi="Verdana"/>
          <w:sz w:val="24"/>
          <w:szCs w:val="24"/>
          <w:lang w:val="es-ES"/>
        </w:rPr>
        <w:t>,</w:t>
      </w:r>
      <w:r w:rsidR="008B6160" w:rsidRPr="00371C4E">
        <w:rPr>
          <w:rFonts w:ascii="Verdana" w:hAnsi="Verdana"/>
          <w:sz w:val="24"/>
          <w:szCs w:val="24"/>
          <w:lang w:val="es-ES"/>
        </w:rPr>
        <w:t xml:space="preserve"> principalmente</w:t>
      </w:r>
      <w:r w:rsidR="003212D3" w:rsidRPr="00371C4E">
        <w:rPr>
          <w:rFonts w:ascii="Verdana" w:hAnsi="Verdana"/>
          <w:sz w:val="24"/>
          <w:szCs w:val="24"/>
          <w:lang w:val="es-ES"/>
        </w:rPr>
        <w:t>,</w:t>
      </w:r>
      <w:r w:rsidR="008B6160" w:rsidRPr="00371C4E">
        <w:rPr>
          <w:rFonts w:ascii="Verdana" w:hAnsi="Verdana"/>
          <w:sz w:val="24"/>
          <w:szCs w:val="24"/>
          <w:lang w:val="es-ES"/>
        </w:rPr>
        <w:t xml:space="preserve"> en función del valor catastral del inmueble, sin atender a criterios vinculados con la generación real de residuos, la capacidad de reciclaje del usuario, ni al uso efectivo del servicio</w:t>
      </w:r>
      <w:r w:rsidR="00AD1AC3" w:rsidRPr="00371C4E">
        <w:rPr>
          <w:rFonts w:ascii="Verdana" w:hAnsi="Verdana"/>
          <w:sz w:val="24"/>
          <w:szCs w:val="24"/>
          <w:lang w:val="es-ES"/>
        </w:rPr>
        <w:t xml:space="preserve">, según se recoge en el ANEXO A) </w:t>
      </w:r>
      <w:r w:rsidR="005156E9">
        <w:rPr>
          <w:rFonts w:ascii="Verdana" w:hAnsi="Verdana"/>
          <w:sz w:val="24"/>
          <w:szCs w:val="24"/>
          <w:lang w:val="es-ES"/>
        </w:rPr>
        <w:t>I</w:t>
      </w:r>
      <w:r w:rsidR="00AD1AC3" w:rsidRPr="00371C4E">
        <w:rPr>
          <w:rFonts w:ascii="Verdana" w:hAnsi="Verdana"/>
          <w:sz w:val="24"/>
          <w:szCs w:val="24"/>
          <w:lang w:val="es-ES"/>
        </w:rPr>
        <w:t>nmuebles de uso catastral residencial.</w:t>
      </w:r>
    </w:p>
    <w:p w14:paraId="30D35C62" w14:textId="756BFB28" w:rsidR="003D65C4" w:rsidRPr="00371C4E" w:rsidRDefault="005156E9" w:rsidP="001C3CE3">
      <w:pPr>
        <w:jc w:val="both"/>
        <w:rPr>
          <w:rFonts w:ascii="Verdana" w:hAnsi="Verdana"/>
          <w:sz w:val="24"/>
          <w:szCs w:val="24"/>
          <w:lang w:val="es-ES"/>
        </w:rPr>
      </w:pPr>
      <w:r w:rsidRPr="005156E9">
        <w:rPr>
          <w:rFonts w:ascii="Verdana" w:hAnsi="Verdana"/>
          <w:b/>
          <w:bCs/>
          <w:sz w:val="24"/>
          <w:szCs w:val="24"/>
          <w:lang w:val="es-ES"/>
        </w:rPr>
        <w:t>Cuarto</w:t>
      </w:r>
      <w:r w:rsidRPr="00371C4E">
        <w:rPr>
          <w:rFonts w:ascii="Verdana" w:hAnsi="Verdana"/>
          <w:b/>
          <w:bCs/>
          <w:sz w:val="24"/>
          <w:szCs w:val="24"/>
          <w:lang w:val="es-ES"/>
        </w:rPr>
        <w:t>.</w:t>
      </w:r>
      <w:r w:rsidRPr="00371C4E">
        <w:rPr>
          <w:rFonts w:ascii="Verdana" w:hAnsi="Verdana"/>
          <w:sz w:val="24"/>
          <w:szCs w:val="24"/>
          <w:lang w:val="es-ES"/>
        </w:rPr>
        <w:t xml:space="preserve"> -</w:t>
      </w:r>
      <w:r w:rsidR="003D65C4" w:rsidRPr="00371C4E">
        <w:rPr>
          <w:rFonts w:ascii="Verdana" w:hAnsi="Verdana"/>
          <w:sz w:val="24"/>
          <w:szCs w:val="24"/>
          <w:lang w:val="es-ES"/>
        </w:rPr>
        <w:t xml:space="preserve"> No se ha tenido en cuenta la Responsabilidad Ampliada del Productor (RAP) ni el Impuesto especial sobre los envases de plástico no reutilizables, mediante el cual los consumidores ya soportamos una carga económica destinada a financiar la gestión de residuos derivados de los envases. Esta omisión genera una doble tributación efectiva.</w:t>
      </w:r>
    </w:p>
    <w:p w14:paraId="4EEA3F16" w14:textId="7014C46D" w:rsidR="008E559C" w:rsidRPr="00371C4E" w:rsidRDefault="007F50B5" w:rsidP="001C3CE3">
      <w:pPr>
        <w:jc w:val="both"/>
        <w:rPr>
          <w:rFonts w:ascii="Verdana" w:hAnsi="Verdana"/>
          <w:sz w:val="24"/>
          <w:szCs w:val="24"/>
          <w:lang w:val="es-ES"/>
        </w:rPr>
      </w:pPr>
      <w:r w:rsidRPr="007F50B5">
        <w:rPr>
          <w:rFonts w:ascii="Verdana" w:hAnsi="Verdana"/>
          <w:b/>
          <w:bCs/>
          <w:sz w:val="24"/>
          <w:szCs w:val="24"/>
          <w:lang w:val="es-ES"/>
        </w:rPr>
        <w:t>Quinto</w:t>
      </w:r>
      <w:r w:rsidRPr="00371C4E">
        <w:rPr>
          <w:rFonts w:ascii="Verdana" w:hAnsi="Verdana"/>
          <w:b/>
          <w:bCs/>
          <w:sz w:val="24"/>
          <w:szCs w:val="24"/>
          <w:lang w:val="es-ES"/>
        </w:rPr>
        <w:t>. -</w:t>
      </w:r>
      <w:r w:rsidR="00CE51BC" w:rsidRPr="00371C4E">
        <w:rPr>
          <w:rFonts w:ascii="Verdana" w:hAnsi="Verdana"/>
          <w:sz w:val="24"/>
          <w:szCs w:val="24"/>
          <w:lang w:val="es-ES"/>
        </w:rPr>
        <w:t xml:space="preserve"> Los k</w:t>
      </w:r>
      <w:r w:rsidR="005156E9">
        <w:rPr>
          <w:rFonts w:ascii="Verdana" w:hAnsi="Verdana"/>
          <w:sz w:val="24"/>
          <w:szCs w:val="24"/>
          <w:lang w:val="es-ES"/>
        </w:rPr>
        <w:t>ilogramos</w:t>
      </w:r>
      <w:r w:rsidR="00CE51BC" w:rsidRPr="00371C4E">
        <w:rPr>
          <w:rFonts w:ascii="Verdana" w:hAnsi="Verdana"/>
          <w:sz w:val="24"/>
          <w:szCs w:val="24"/>
          <w:lang w:val="es-ES"/>
        </w:rPr>
        <w:t xml:space="preserve"> teóricos asignados al inmueble según la Resolución de la Dirección General de la Agencia Tributaria de </w:t>
      </w:r>
      <w:r w:rsidR="00E01154" w:rsidRPr="00371C4E">
        <w:rPr>
          <w:rFonts w:ascii="Verdana" w:hAnsi="Verdana"/>
          <w:sz w:val="24"/>
          <w:szCs w:val="24"/>
          <w:lang w:val="es-ES"/>
        </w:rPr>
        <w:lastRenderedPageBreak/>
        <w:t>[</w:t>
      </w:r>
      <w:r w:rsidR="00E01154">
        <w:rPr>
          <w:rFonts w:ascii="Verdana" w:hAnsi="Verdana"/>
          <w:sz w:val="24"/>
          <w:szCs w:val="24"/>
          <w:lang w:val="es-ES"/>
        </w:rPr>
        <w:t>Localidad</w:t>
      </w:r>
      <w:r w:rsidR="00E01154" w:rsidRPr="00371C4E">
        <w:rPr>
          <w:rFonts w:ascii="Verdana" w:hAnsi="Verdana"/>
          <w:sz w:val="24"/>
          <w:szCs w:val="24"/>
          <w:lang w:val="es-ES"/>
        </w:rPr>
        <w:t xml:space="preserve">], </w:t>
      </w:r>
      <w:r w:rsidR="00CE51BC" w:rsidRPr="00371C4E">
        <w:rPr>
          <w:rFonts w:ascii="Verdana" w:hAnsi="Verdana"/>
          <w:sz w:val="24"/>
          <w:szCs w:val="24"/>
          <w:lang w:val="es-ES"/>
        </w:rPr>
        <w:t xml:space="preserve">por la que se da cumplimiento a lo dispuesto en el artículo </w:t>
      </w:r>
      <w:r w:rsidR="00E01154" w:rsidRPr="00371C4E">
        <w:rPr>
          <w:rFonts w:ascii="Verdana" w:hAnsi="Verdana"/>
          <w:sz w:val="24"/>
          <w:szCs w:val="24"/>
          <w:lang w:val="es-ES"/>
        </w:rPr>
        <w:t>[</w:t>
      </w:r>
      <w:r w:rsidR="00E01154" w:rsidRPr="00371C4E">
        <w:rPr>
          <w:rFonts w:ascii="Verdana" w:hAnsi="Verdana"/>
          <w:sz w:val="24"/>
          <w:szCs w:val="24"/>
          <w:highlight w:val="lightGray"/>
          <w:lang w:val="es-ES"/>
        </w:rPr>
        <w:t>XXXXX</w:t>
      </w:r>
      <w:r w:rsidR="00E01154" w:rsidRPr="00371C4E">
        <w:rPr>
          <w:rFonts w:ascii="Verdana" w:hAnsi="Verdana"/>
          <w:sz w:val="24"/>
          <w:szCs w:val="24"/>
          <w:lang w:val="es-ES"/>
        </w:rPr>
        <w:t xml:space="preserve">], </w:t>
      </w:r>
      <w:r w:rsidR="00CE51BC" w:rsidRPr="00371C4E">
        <w:rPr>
          <w:rFonts w:ascii="Verdana" w:hAnsi="Verdana"/>
          <w:sz w:val="24"/>
          <w:szCs w:val="24"/>
          <w:lang w:val="es-ES"/>
        </w:rPr>
        <w:t>de la Ordenanza Fiscal reg</w:t>
      </w:r>
      <w:r w:rsidR="00562A40" w:rsidRPr="00371C4E">
        <w:rPr>
          <w:rFonts w:ascii="Verdana" w:hAnsi="Verdana"/>
          <w:sz w:val="24"/>
          <w:szCs w:val="24"/>
          <w:lang w:val="es-ES"/>
        </w:rPr>
        <w:t>ula</w:t>
      </w:r>
      <w:r w:rsidR="00CE51BC" w:rsidRPr="00371C4E">
        <w:rPr>
          <w:rFonts w:ascii="Verdana" w:hAnsi="Verdana"/>
          <w:sz w:val="24"/>
          <w:szCs w:val="24"/>
          <w:lang w:val="es-ES"/>
        </w:rPr>
        <w:t>dora de la Tasa por prestación del servicio de gesti</w:t>
      </w:r>
      <w:r w:rsidR="003D65C4" w:rsidRPr="00371C4E">
        <w:rPr>
          <w:rFonts w:ascii="Verdana" w:hAnsi="Verdana"/>
          <w:sz w:val="24"/>
          <w:szCs w:val="24"/>
          <w:lang w:val="es-ES"/>
        </w:rPr>
        <w:t>ó</w:t>
      </w:r>
      <w:r w:rsidR="00CE51BC" w:rsidRPr="00371C4E">
        <w:rPr>
          <w:rFonts w:ascii="Verdana" w:hAnsi="Verdana"/>
          <w:sz w:val="24"/>
          <w:szCs w:val="24"/>
          <w:lang w:val="es-ES"/>
        </w:rPr>
        <w:t>n de residuos de competencia municipal, ANEXO-1</w:t>
      </w:r>
      <w:r w:rsidR="00F36252">
        <w:rPr>
          <w:rFonts w:ascii="Verdana" w:hAnsi="Verdana"/>
          <w:sz w:val="24"/>
          <w:szCs w:val="24"/>
          <w:lang w:val="es-ES"/>
        </w:rPr>
        <w:t xml:space="preserve"> n</w:t>
      </w:r>
      <w:r w:rsidR="00CE51BC" w:rsidRPr="00371C4E">
        <w:rPr>
          <w:rFonts w:ascii="Verdana" w:hAnsi="Verdana"/>
          <w:sz w:val="24"/>
          <w:szCs w:val="24"/>
          <w:lang w:val="es-ES"/>
        </w:rPr>
        <w:t>o se corresponde con los residuos reales generados en el inmu</w:t>
      </w:r>
      <w:r w:rsidR="00562A40" w:rsidRPr="00371C4E">
        <w:rPr>
          <w:rFonts w:ascii="Verdana" w:hAnsi="Verdana"/>
          <w:sz w:val="24"/>
          <w:szCs w:val="24"/>
          <w:lang w:val="es-ES"/>
        </w:rPr>
        <w:t>e</w:t>
      </w:r>
      <w:r w:rsidR="00CE51BC" w:rsidRPr="00371C4E">
        <w:rPr>
          <w:rFonts w:ascii="Verdana" w:hAnsi="Verdana"/>
          <w:sz w:val="24"/>
          <w:szCs w:val="24"/>
          <w:lang w:val="es-ES"/>
        </w:rPr>
        <w:t>ble.</w:t>
      </w:r>
    </w:p>
    <w:p w14:paraId="0B830683" w14:textId="7188D6F8" w:rsidR="008E559C" w:rsidRPr="00371C4E" w:rsidRDefault="00F36252" w:rsidP="001C3CE3">
      <w:pPr>
        <w:jc w:val="both"/>
        <w:rPr>
          <w:rFonts w:ascii="Verdana" w:hAnsi="Verdana"/>
          <w:sz w:val="24"/>
          <w:szCs w:val="24"/>
          <w:lang w:val="es-ES"/>
        </w:rPr>
      </w:pPr>
      <w:r w:rsidRPr="00F36252">
        <w:rPr>
          <w:rFonts w:ascii="Verdana" w:hAnsi="Verdana"/>
          <w:b/>
          <w:bCs/>
          <w:sz w:val="24"/>
          <w:szCs w:val="24"/>
          <w:lang w:val="es-ES"/>
        </w:rPr>
        <w:t>Sexto</w:t>
      </w:r>
      <w:r w:rsidRPr="00371C4E">
        <w:rPr>
          <w:rFonts w:ascii="Verdana" w:hAnsi="Verdana"/>
          <w:b/>
          <w:bCs/>
          <w:sz w:val="24"/>
          <w:szCs w:val="24"/>
          <w:lang w:val="es-ES"/>
        </w:rPr>
        <w:t>. -</w:t>
      </w:r>
      <w:r w:rsidR="008B6160" w:rsidRPr="00371C4E">
        <w:rPr>
          <w:rFonts w:ascii="Verdana" w:hAnsi="Verdana"/>
          <w:sz w:val="24"/>
          <w:szCs w:val="24"/>
          <w:lang w:val="es-ES"/>
        </w:rPr>
        <w:t xml:space="preserve"> Además, la tasa carece de mecanismos para incentivar la reducción de residuos y el reciclaje, incumpliendo los objetivos fijados por la Ley 7/2022, de 8 de abril, de residuos y suelos contaminados para una economía circular, que obliga a las entidades locales a establecer sistemas de pago por generación y medidas que promuevan la reducción en origen</w:t>
      </w:r>
      <w:r w:rsidR="003D65C4" w:rsidRPr="00371C4E">
        <w:rPr>
          <w:rFonts w:ascii="Verdana" w:hAnsi="Verdana"/>
          <w:sz w:val="24"/>
          <w:szCs w:val="24"/>
          <w:lang w:val="es-ES"/>
        </w:rPr>
        <w:t>.</w:t>
      </w:r>
    </w:p>
    <w:p w14:paraId="029FEA81" w14:textId="43D1460F" w:rsidR="008E559C" w:rsidRPr="00371C4E" w:rsidRDefault="008B6160" w:rsidP="001C3CE3">
      <w:pPr>
        <w:pStyle w:val="Ttulo1"/>
        <w:jc w:val="both"/>
        <w:rPr>
          <w:rFonts w:ascii="Verdana" w:hAnsi="Verdana"/>
          <w:color w:val="auto"/>
          <w:sz w:val="24"/>
          <w:szCs w:val="24"/>
          <w:lang w:val="es-ES"/>
        </w:rPr>
      </w:pPr>
      <w:r w:rsidRPr="00371C4E">
        <w:rPr>
          <w:rFonts w:ascii="Verdana" w:hAnsi="Verdana"/>
          <w:color w:val="auto"/>
          <w:sz w:val="24"/>
          <w:szCs w:val="24"/>
          <w:lang w:val="es-ES"/>
        </w:rPr>
        <w:t>FUNDAMENTOS DE DERECHO</w:t>
      </w:r>
      <w:r w:rsidR="005F0A5D">
        <w:rPr>
          <w:rFonts w:ascii="Verdana" w:hAnsi="Verdana"/>
          <w:color w:val="auto"/>
          <w:sz w:val="24"/>
          <w:szCs w:val="24"/>
          <w:lang w:val="es-ES"/>
        </w:rPr>
        <w:t>:</w:t>
      </w:r>
    </w:p>
    <w:p w14:paraId="4BF41979" w14:textId="77777777" w:rsidR="008E559C" w:rsidRPr="00371C4E" w:rsidRDefault="008B6160" w:rsidP="001C3CE3">
      <w:pPr>
        <w:jc w:val="both"/>
        <w:rPr>
          <w:rFonts w:ascii="Verdana" w:hAnsi="Verdana"/>
          <w:sz w:val="24"/>
          <w:szCs w:val="24"/>
          <w:lang w:val="es-ES"/>
        </w:rPr>
      </w:pPr>
      <w:r w:rsidRPr="00371C4E">
        <w:rPr>
          <w:rFonts w:ascii="Verdana" w:hAnsi="Verdana"/>
          <w:b/>
          <w:bCs/>
          <w:sz w:val="24"/>
          <w:szCs w:val="24"/>
          <w:lang w:val="es-ES"/>
        </w:rPr>
        <w:t>Primero</w:t>
      </w:r>
      <w:r w:rsidRPr="00371C4E">
        <w:rPr>
          <w:rFonts w:ascii="Verdana" w:hAnsi="Verdana"/>
          <w:sz w:val="24"/>
          <w:szCs w:val="24"/>
          <w:lang w:val="es-ES"/>
        </w:rPr>
        <w:t xml:space="preserve">. </w:t>
      </w:r>
      <w:r w:rsidRPr="007E4A7B">
        <w:rPr>
          <w:rFonts w:ascii="Verdana" w:hAnsi="Verdana"/>
          <w:b/>
          <w:bCs/>
          <w:sz w:val="24"/>
          <w:szCs w:val="24"/>
          <w:lang w:val="es-ES"/>
        </w:rPr>
        <w:t>Sobre el principio de equivalencia de las tasas</w:t>
      </w:r>
      <w:r w:rsidRPr="00371C4E">
        <w:rPr>
          <w:rFonts w:ascii="Verdana" w:hAnsi="Verdana"/>
          <w:sz w:val="24"/>
          <w:szCs w:val="24"/>
          <w:lang w:val="es-ES"/>
        </w:rPr>
        <w:t>. Según el artículo 24.2 del TRLRHL, el importe de las tasas no podrá exceder, en su conjunto, del coste real o previsible del servicio o actividad. Al no deducir las aportaciones que ya se financian a través del impuesto estatal sobre envases y la RAP, la tasa municipal excede la cobertura del coste real del servicio.</w:t>
      </w:r>
    </w:p>
    <w:p w14:paraId="6E822327" w14:textId="77777777" w:rsidR="008E559C" w:rsidRPr="00371C4E" w:rsidRDefault="008B6160" w:rsidP="001C3CE3">
      <w:pPr>
        <w:jc w:val="both"/>
        <w:rPr>
          <w:rFonts w:ascii="Verdana" w:hAnsi="Verdana"/>
          <w:sz w:val="24"/>
          <w:szCs w:val="24"/>
          <w:lang w:val="es-ES"/>
        </w:rPr>
      </w:pPr>
      <w:r w:rsidRPr="00371C4E">
        <w:rPr>
          <w:rFonts w:ascii="Verdana" w:hAnsi="Verdana"/>
          <w:b/>
          <w:bCs/>
          <w:sz w:val="24"/>
          <w:szCs w:val="24"/>
          <w:lang w:val="es-ES"/>
        </w:rPr>
        <w:t>Segundo</w:t>
      </w:r>
      <w:r w:rsidRPr="00371C4E">
        <w:rPr>
          <w:rFonts w:ascii="Verdana" w:hAnsi="Verdana"/>
          <w:sz w:val="24"/>
          <w:szCs w:val="24"/>
          <w:lang w:val="es-ES"/>
        </w:rPr>
        <w:t xml:space="preserve">. </w:t>
      </w:r>
      <w:r w:rsidRPr="007E4A7B">
        <w:rPr>
          <w:rFonts w:ascii="Verdana" w:hAnsi="Verdana"/>
          <w:b/>
          <w:bCs/>
          <w:sz w:val="24"/>
          <w:szCs w:val="24"/>
          <w:lang w:val="es-ES"/>
        </w:rPr>
        <w:t>Sobre el principio de proporcionalidad y capacidad económica.</w:t>
      </w:r>
      <w:r w:rsidRPr="00371C4E">
        <w:rPr>
          <w:rFonts w:ascii="Verdana" w:hAnsi="Verdana"/>
          <w:sz w:val="24"/>
          <w:szCs w:val="24"/>
          <w:lang w:val="es-ES"/>
        </w:rPr>
        <w:t xml:space="preserve"> El artículo 31.1 de la Constitución Española establece que todos contribuirán al sostenimiento de los gastos públicos de acuerdo con su capacidad económica. La tasa no guarda proporción con la capacidad económica real del contribuyente ni con el coste efectivo del servicio, ya que ignora contribuciones previamente efectuadas a través de otros instrumentos tributarios. Además, la utilización del valor catastral como criterio principal de cálculo distorsiona completamente la relación entre contribución y uso del servicio, aproximando la tasa a un impuesto encubierto.</w:t>
      </w:r>
    </w:p>
    <w:p w14:paraId="118B8B1A" w14:textId="77777777" w:rsidR="008E559C" w:rsidRPr="00371C4E" w:rsidRDefault="008B6160" w:rsidP="001C3CE3">
      <w:pPr>
        <w:jc w:val="both"/>
        <w:rPr>
          <w:rFonts w:ascii="Verdana" w:hAnsi="Verdana"/>
          <w:sz w:val="24"/>
          <w:szCs w:val="24"/>
          <w:lang w:val="es-ES"/>
        </w:rPr>
      </w:pPr>
      <w:r w:rsidRPr="00371C4E">
        <w:rPr>
          <w:rFonts w:ascii="Verdana" w:hAnsi="Verdana"/>
          <w:b/>
          <w:bCs/>
          <w:sz w:val="24"/>
          <w:szCs w:val="24"/>
          <w:lang w:val="es-ES"/>
        </w:rPr>
        <w:t>Tercero</w:t>
      </w:r>
      <w:r w:rsidRPr="00371C4E">
        <w:rPr>
          <w:rFonts w:ascii="Verdana" w:hAnsi="Verdana"/>
          <w:sz w:val="24"/>
          <w:szCs w:val="24"/>
          <w:lang w:val="es-ES"/>
        </w:rPr>
        <w:t xml:space="preserve">. </w:t>
      </w:r>
      <w:r w:rsidRPr="007E4A7B">
        <w:rPr>
          <w:rFonts w:ascii="Verdana" w:hAnsi="Verdana"/>
          <w:b/>
          <w:bCs/>
          <w:sz w:val="24"/>
          <w:szCs w:val="24"/>
          <w:lang w:val="es-ES"/>
        </w:rPr>
        <w:t>Doble tributación material</w:t>
      </w:r>
      <w:r w:rsidRPr="00371C4E">
        <w:rPr>
          <w:rFonts w:ascii="Verdana" w:hAnsi="Verdana"/>
          <w:sz w:val="24"/>
          <w:szCs w:val="24"/>
          <w:lang w:val="es-ES"/>
        </w:rPr>
        <w:t>. La Ley 7/2022 establece la responsabilidad ampliada del productor, de forma que los costes de recogida y tratamiento de residuos de envases no deben recaer íntegramente en los ciudadanos. La falta de coordinación entre el impuesto estatal y la tasa local supone una duplicación de cargas que carece de amparo legal y vulnera el principio de justicia tributaria del artículo 31 CE.</w:t>
      </w:r>
    </w:p>
    <w:p w14:paraId="316428B5" w14:textId="6024B08D" w:rsidR="008E559C" w:rsidRPr="00371C4E" w:rsidRDefault="008B6160" w:rsidP="001C3CE3">
      <w:pPr>
        <w:jc w:val="both"/>
        <w:rPr>
          <w:rFonts w:ascii="Verdana" w:hAnsi="Verdana"/>
          <w:sz w:val="24"/>
          <w:szCs w:val="24"/>
          <w:lang w:val="es-ES"/>
        </w:rPr>
      </w:pPr>
      <w:r w:rsidRPr="00371C4E">
        <w:rPr>
          <w:rFonts w:ascii="Verdana" w:hAnsi="Verdana"/>
          <w:b/>
          <w:bCs/>
          <w:sz w:val="24"/>
          <w:szCs w:val="24"/>
          <w:lang w:val="es-ES"/>
        </w:rPr>
        <w:lastRenderedPageBreak/>
        <w:t>Cuarto</w:t>
      </w:r>
      <w:r w:rsidRPr="00371C4E">
        <w:rPr>
          <w:rFonts w:ascii="Verdana" w:hAnsi="Verdana"/>
          <w:sz w:val="24"/>
          <w:szCs w:val="24"/>
          <w:lang w:val="es-ES"/>
        </w:rPr>
        <w:t xml:space="preserve">. </w:t>
      </w:r>
      <w:r w:rsidRPr="007E4A7B">
        <w:rPr>
          <w:rFonts w:ascii="Verdana" w:hAnsi="Verdana"/>
          <w:b/>
          <w:bCs/>
          <w:sz w:val="24"/>
          <w:szCs w:val="24"/>
          <w:lang w:val="es-ES"/>
        </w:rPr>
        <w:t>Inobservancia de la Ley 7/2022 en materia de reciclaje y economía circular</w:t>
      </w:r>
      <w:r w:rsidRPr="00371C4E">
        <w:rPr>
          <w:rFonts w:ascii="Verdana" w:hAnsi="Verdana"/>
          <w:sz w:val="24"/>
          <w:szCs w:val="24"/>
          <w:lang w:val="es-ES"/>
        </w:rPr>
        <w:t>. El artículo 11 de la Ley 7/2022 obliga a los entes locales a incentivar la prevención y reciclaje de residuos mediante instrumentos económicos, incluyendo sistemas de pago por generación. La Ordenanza Fiscal no incorpora tales mecanismos ni incentivos, lo que contraviene la normativa estatal y los objetivos de economía circular.</w:t>
      </w:r>
    </w:p>
    <w:p w14:paraId="6A7A6D6F" w14:textId="52675B49" w:rsidR="008E559C" w:rsidRPr="00371C4E" w:rsidRDefault="008B6160" w:rsidP="001C3CE3">
      <w:pPr>
        <w:jc w:val="both"/>
        <w:rPr>
          <w:rFonts w:ascii="Verdana" w:hAnsi="Verdana"/>
          <w:sz w:val="24"/>
          <w:szCs w:val="24"/>
          <w:lang w:val="es-ES"/>
        </w:rPr>
      </w:pPr>
      <w:r w:rsidRPr="00371C4E">
        <w:rPr>
          <w:rFonts w:ascii="Verdana" w:hAnsi="Verdana"/>
          <w:b/>
          <w:bCs/>
          <w:sz w:val="24"/>
          <w:szCs w:val="24"/>
          <w:lang w:val="es-ES"/>
        </w:rPr>
        <w:t>Quinto</w:t>
      </w:r>
      <w:r w:rsidRPr="00371C4E">
        <w:rPr>
          <w:rFonts w:ascii="Verdana" w:hAnsi="Verdana"/>
          <w:sz w:val="24"/>
          <w:szCs w:val="24"/>
          <w:lang w:val="es-ES"/>
        </w:rPr>
        <w:t xml:space="preserve">. </w:t>
      </w:r>
      <w:r w:rsidR="00A53ABB" w:rsidRPr="007E4A7B">
        <w:rPr>
          <w:rFonts w:ascii="Verdana" w:hAnsi="Verdana"/>
          <w:b/>
          <w:bCs/>
          <w:sz w:val="24"/>
          <w:szCs w:val="24"/>
          <w:lang w:val="es-ES"/>
        </w:rPr>
        <w:t xml:space="preserve">En cuanto a la </w:t>
      </w:r>
      <w:r w:rsidRPr="007E4A7B">
        <w:rPr>
          <w:rFonts w:ascii="Verdana" w:hAnsi="Verdana"/>
          <w:b/>
          <w:bCs/>
          <w:sz w:val="24"/>
          <w:szCs w:val="24"/>
          <w:lang w:val="es-ES"/>
        </w:rPr>
        <w:t>Jurisprudencia aplicable</w:t>
      </w:r>
      <w:r w:rsidRPr="00371C4E">
        <w:rPr>
          <w:rFonts w:ascii="Verdana" w:hAnsi="Verdana"/>
          <w:sz w:val="24"/>
          <w:szCs w:val="24"/>
          <w:lang w:val="es-ES"/>
        </w:rPr>
        <w:t>.</w:t>
      </w:r>
      <w:r w:rsidR="007E4A7B">
        <w:rPr>
          <w:rFonts w:ascii="Verdana" w:hAnsi="Verdana"/>
          <w:sz w:val="24"/>
          <w:szCs w:val="24"/>
          <w:lang w:val="es-ES"/>
        </w:rPr>
        <w:t xml:space="preserve"> E</w:t>
      </w:r>
      <w:r w:rsidR="00A53ABB" w:rsidRPr="00371C4E">
        <w:rPr>
          <w:rFonts w:ascii="Verdana" w:hAnsi="Verdana"/>
          <w:sz w:val="24"/>
          <w:szCs w:val="24"/>
          <w:lang w:val="es-ES"/>
        </w:rPr>
        <w:t>l</w:t>
      </w:r>
      <w:r w:rsidRPr="00371C4E">
        <w:rPr>
          <w:rFonts w:ascii="Verdana" w:hAnsi="Verdana"/>
          <w:sz w:val="24"/>
          <w:szCs w:val="24"/>
          <w:lang w:val="es-ES"/>
        </w:rPr>
        <w:t xml:space="preserve"> Tribunal Supremo </w:t>
      </w:r>
      <w:r w:rsidR="00A53ABB" w:rsidRPr="00371C4E">
        <w:rPr>
          <w:rFonts w:ascii="Verdana" w:hAnsi="Verdana"/>
          <w:sz w:val="24"/>
          <w:szCs w:val="24"/>
          <w:lang w:val="es-ES"/>
        </w:rPr>
        <w:t xml:space="preserve">en su sentencia </w:t>
      </w:r>
      <w:r w:rsidR="00B509AC" w:rsidRPr="00371C4E">
        <w:rPr>
          <w:rFonts w:ascii="Verdana" w:hAnsi="Verdana"/>
          <w:sz w:val="24"/>
          <w:szCs w:val="24"/>
          <w:lang w:val="es-ES"/>
        </w:rPr>
        <w:t xml:space="preserve">818/2024, </w:t>
      </w:r>
      <w:r w:rsidR="00A53ABB" w:rsidRPr="00371C4E">
        <w:rPr>
          <w:rFonts w:ascii="Verdana" w:hAnsi="Verdana"/>
          <w:sz w:val="24"/>
          <w:szCs w:val="24"/>
          <w:lang w:val="es-ES"/>
        </w:rPr>
        <w:t>de 13 de mayo de 2024</w:t>
      </w:r>
      <w:r w:rsidR="00B509AC" w:rsidRPr="00371C4E">
        <w:rPr>
          <w:rFonts w:ascii="Verdana" w:hAnsi="Verdana"/>
          <w:sz w:val="24"/>
          <w:szCs w:val="24"/>
          <w:lang w:val="es-ES"/>
        </w:rPr>
        <w:t xml:space="preserve">, </w:t>
      </w:r>
      <w:r w:rsidR="00A53ABB" w:rsidRPr="00371C4E">
        <w:rPr>
          <w:rFonts w:ascii="Verdana" w:hAnsi="Verdana"/>
          <w:sz w:val="24"/>
          <w:szCs w:val="24"/>
          <w:lang w:val="es-ES"/>
        </w:rPr>
        <w:t>recoge que debe exigirse que haya una relación justificable entre el servicio y la tasa</w:t>
      </w:r>
      <w:r w:rsidR="007E4A7B">
        <w:rPr>
          <w:rFonts w:ascii="Verdana" w:hAnsi="Verdana"/>
          <w:sz w:val="24"/>
          <w:szCs w:val="24"/>
          <w:lang w:val="es-ES"/>
        </w:rPr>
        <w:t>.</w:t>
      </w:r>
    </w:p>
    <w:p w14:paraId="244E6BF0" w14:textId="77777777" w:rsidR="006F2882" w:rsidRPr="00371C4E" w:rsidRDefault="008B6160" w:rsidP="001C3CE3">
      <w:pPr>
        <w:jc w:val="both"/>
        <w:rPr>
          <w:rFonts w:ascii="Verdana" w:hAnsi="Verdana"/>
          <w:sz w:val="24"/>
          <w:szCs w:val="24"/>
          <w:lang w:val="es-ES"/>
        </w:rPr>
      </w:pPr>
      <w:r w:rsidRPr="00371C4E">
        <w:rPr>
          <w:rFonts w:ascii="Verdana" w:hAnsi="Verdana"/>
          <w:sz w:val="24"/>
          <w:szCs w:val="24"/>
          <w:lang w:val="es-ES"/>
        </w:rPr>
        <w:t>Por todo lo expuesto,</w:t>
      </w:r>
    </w:p>
    <w:p w14:paraId="2A1C40A1" w14:textId="6F8F9C78" w:rsidR="008E559C" w:rsidRPr="00371C4E" w:rsidRDefault="008B6160" w:rsidP="001C3CE3">
      <w:pPr>
        <w:jc w:val="both"/>
        <w:rPr>
          <w:rFonts w:ascii="Verdana" w:hAnsi="Verdana"/>
          <w:sz w:val="24"/>
          <w:szCs w:val="24"/>
          <w:lang w:val="es-ES"/>
        </w:rPr>
      </w:pPr>
      <w:r w:rsidRPr="00371C4E">
        <w:rPr>
          <w:rFonts w:ascii="Verdana" w:hAnsi="Verdana"/>
          <w:b/>
          <w:bCs/>
          <w:sz w:val="24"/>
          <w:szCs w:val="24"/>
          <w:lang w:val="es-ES"/>
        </w:rPr>
        <w:t>SOLICITA</w:t>
      </w:r>
      <w:r w:rsidRPr="00371C4E">
        <w:rPr>
          <w:rFonts w:ascii="Verdana" w:hAnsi="Verdana"/>
          <w:sz w:val="24"/>
          <w:szCs w:val="24"/>
          <w:lang w:val="es-ES"/>
        </w:rPr>
        <w:t xml:space="preserve"> a este Tribunal que, teniendo por presentado este escrito, se sirva admitirlo, y en su virtud:</w:t>
      </w:r>
    </w:p>
    <w:p w14:paraId="18E83D07" w14:textId="6225E87E" w:rsidR="008E559C" w:rsidRPr="00371C4E" w:rsidRDefault="008B6160" w:rsidP="001C3CE3">
      <w:pPr>
        <w:jc w:val="both"/>
        <w:rPr>
          <w:rFonts w:ascii="Verdana" w:hAnsi="Verdana"/>
          <w:sz w:val="24"/>
          <w:szCs w:val="24"/>
          <w:lang w:val="es-ES"/>
        </w:rPr>
      </w:pPr>
      <w:r w:rsidRPr="00371C4E">
        <w:rPr>
          <w:rFonts w:ascii="Verdana" w:hAnsi="Verdana"/>
          <w:sz w:val="24"/>
          <w:szCs w:val="24"/>
          <w:lang w:val="es-ES"/>
        </w:rPr>
        <w:t xml:space="preserve">1. Se admita </w:t>
      </w:r>
      <w:r w:rsidR="000E2A21" w:rsidRPr="00371C4E">
        <w:rPr>
          <w:rFonts w:ascii="Verdana" w:hAnsi="Verdana"/>
          <w:sz w:val="24"/>
          <w:szCs w:val="24"/>
          <w:lang w:val="es-ES"/>
        </w:rPr>
        <w:t xml:space="preserve">la presente </w:t>
      </w:r>
      <w:r w:rsidRPr="00371C4E">
        <w:rPr>
          <w:rFonts w:ascii="Verdana" w:hAnsi="Verdana"/>
          <w:sz w:val="24"/>
          <w:szCs w:val="24"/>
          <w:lang w:val="es-ES"/>
        </w:rPr>
        <w:t xml:space="preserve">reclamación económico-administrativa contra la liquidación de la Tasa de Residuos correspondiente al ejercicio </w:t>
      </w:r>
      <w:r w:rsidR="006F2882" w:rsidRPr="00371C4E">
        <w:rPr>
          <w:rFonts w:ascii="Verdana" w:hAnsi="Verdana"/>
          <w:sz w:val="24"/>
          <w:szCs w:val="24"/>
          <w:lang w:val="es-ES"/>
        </w:rPr>
        <w:t>2025</w:t>
      </w:r>
      <w:r w:rsidRPr="00371C4E">
        <w:rPr>
          <w:rFonts w:ascii="Verdana" w:hAnsi="Verdana"/>
          <w:sz w:val="24"/>
          <w:szCs w:val="24"/>
          <w:lang w:val="es-ES"/>
        </w:rPr>
        <w:t>.</w:t>
      </w:r>
    </w:p>
    <w:p w14:paraId="2079F589" w14:textId="77777777" w:rsidR="008E559C" w:rsidRPr="00371C4E" w:rsidRDefault="008B6160" w:rsidP="001C3CE3">
      <w:pPr>
        <w:jc w:val="both"/>
        <w:rPr>
          <w:rFonts w:ascii="Verdana" w:hAnsi="Verdana"/>
          <w:sz w:val="24"/>
          <w:szCs w:val="24"/>
          <w:lang w:val="es-ES"/>
        </w:rPr>
      </w:pPr>
      <w:r w:rsidRPr="00371C4E">
        <w:rPr>
          <w:rFonts w:ascii="Verdana" w:hAnsi="Verdana"/>
          <w:sz w:val="24"/>
          <w:szCs w:val="24"/>
          <w:lang w:val="es-ES"/>
        </w:rPr>
        <w:t>2. Se declare la nulidad o, subsidiariamente, la improcedencia de la liquidación impugnada por vulnerar los principios de equivalencia, proporcionalidad y capacidad económica, por generar una doble tributación y por incumplir la Ley 7/2022.</w:t>
      </w:r>
    </w:p>
    <w:p w14:paraId="01CD40E5" w14:textId="635515F8" w:rsidR="008E559C" w:rsidRPr="00371C4E" w:rsidRDefault="008B6160" w:rsidP="001C3CE3">
      <w:pPr>
        <w:jc w:val="both"/>
        <w:rPr>
          <w:rFonts w:ascii="Verdana" w:hAnsi="Verdana"/>
          <w:color w:val="FF0000"/>
          <w:sz w:val="24"/>
          <w:szCs w:val="24"/>
          <w:lang w:val="es-ES"/>
        </w:rPr>
      </w:pPr>
      <w:r w:rsidRPr="00371C4E">
        <w:rPr>
          <w:rFonts w:ascii="Verdana" w:hAnsi="Verdana"/>
          <w:sz w:val="24"/>
          <w:szCs w:val="24"/>
          <w:lang w:val="es-ES"/>
        </w:rPr>
        <w:t xml:space="preserve">3. </w:t>
      </w:r>
      <w:r w:rsidRPr="007E4A7B">
        <w:rPr>
          <w:rFonts w:ascii="Verdana" w:hAnsi="Verdana"/>
          <w:sz w:val="24"/>
          <w:szCs w:val="24"/>
          <w:lang w:val="es-ES"/>
        </w:rPr>
        <w:t xml:space="preserve">Se </w:t>
      </w:r>
      <w:r w:rsidR="000E2A21" w:rsidRPr="007E4A7B">
        <w:rPr>
          <w:rFonts w:ascii="Verdana" w:hAnsi="Verdana"/>
          <w:sz w:val="24"/>
          <w:szCs w:val="24"/>
          <w:lang w:val="es-ES"/>
        </w:rPr>
        <w:t>reconozca el derecho a obtener</w:t>
      </w:r>
      <w:r w:rsidR="000E2A21" w:rsidRPr="00371C4E">
        <w:rPr>
          <w:rFonts w:ascii="Verdana" w:hAnsi="Verdana"/>
          <w:color w:val="FF0000"/>
          <w:sz w:val="24"/>
          <w:szCs w:val="24"/>
          <w:lang w:val="es-ES"/>
        </w:rPr>
        <w:t xml:space="preserve"> </w:t>
      </w:r>
      <w:r w:rsidRPr="00371C4E">
        <w:rPr>
          <w:rFonts w:ascii="Verdana" w:hAnsi="Verdana"/>
          <w:sz w:val="24"/>
          <w:szCs w:val="24"/>
          <w:lang w:val="es-ES"/>
        </w:rPr>
        <w:t>la devolución de las cantidades indebidamente liquidadas, con los intereses que procedan.</w:t>
      </w:r>
    </w:p>
    <w:p w14:paraId="3A3F468B" w14:textId="77777777" w:rsidR="008E559C" w:rsidRPr="00371C4E" w:rsidRDefault="008B6160" w:rsidP="001C3CE3">
      <w:pPr>
        <w:jc w:val="both"/>
        <w:rPr>
          <w:rFonts w:ascii="Verdana" w:hAnsi="Verdana"/>
          <w:sz w:val="24"/>
          <w:szCs w:val="24"/>
          <w:lang w:val="es-ES"/>
        </w:rPr>
      </w:pPr>
      <w:r w:rsidRPr="00371C4E">
        <w:rPr>
          <w:rFonts w:ascii="Verdana" w:hAnsi="Verdana"/>
          <w:sz w:val="24"/>
          <w:szCs w:val="24"/>
          <w:lang w:val="es-ES"/>
        </w:rPr>
        <w:t>Por ser de Justicia que pido en [</w:t>
      </w:r>
      <w:r w:rsidRPr="007E4A7B">
        <w:rPr>
          <w:rFonts w:ascii="Verdana" w:hAnsi="Verdana"/>
          <w:sz w:val="24"/>
          <w:szCs w:val="24"/>
          <w:highlight w:val="lightGray"/>
          <w:lang w:val="es-ES"/>
        </w:rPr>
        <w:t>localidad</w:t>
      </w:r>
      <w:r w:rsidRPr="00371C4E">
        <w:rPr>
          <w:rFonts w:ascii="Verdana" w:hAnsi="Verdana"/>
          <w:sz w:val="24"/>
          <w:szCs w:val="24"/>
          <w:lang w:val="es-ES"/>
        </w:rPr>
        <w:t>], a [</w:t>
      </w:r>
      <w:r w:rsidRPr="007E4A7B">
        <w:rPr>
          <w:rFonts w:ascii="Verdana" w:hAnsi="Verdana"/>
          <w:sz w:val="24"/>
          <w:szCs w:val="24"/>
          <w:highlight w:val="lightGray"/>
          <w:lang w:val="es-ES"/>
        </w:rPr>
        <w:t>fecha</w:t>
      </w:r>
      <w:r w:rsidRPr="00371C4E">
        <w:rPr>
          <w:rFonts w:ascii="Verdana" w:hAnsi="Verdana"/>
          <w:sz w:val="24"/>
          <w:szCs w:val="24"/>
          <w:lang w:val="es-ES"/>
        </w:rPr>
        <w:t>].</w:t>
      </w:r>
    </w:p>
    <w:p w14:paraId="3F3E8A47" w14:textId="77777777" w:rsidR="007E4A7B" w:rsidRDefault="007E4A7B" w:rsidP="001C3CE3">
      <w:pPr>
        <w:jc w:val="both"/>
        <w:rPr>
          <w:rFonts w:ascii="Verdana" w:hAnsi="Verdana"/>
          <w:sz w:val="24"/>
          <w:szCs w:val="24"/>
          <w:lang w:val="es-ES"/>
        </w:rPr>
      </w:pPr>
    </w:p>
    <w:p w14:paraId="31AE6245" w14:textId="04B5D68E" w:rsidR="007F50B5" w:rsidRDefault="008B6160" w:rsidP="001C3CE3">
      <w:pPr>
        <w:jc w:val="both"/>
        <w:rPr>
          <w:rFonts w:ascii="Verdana" w:hAnsi="Verdana"/>
          <w:sz w:val="24"/>
          <w:szCs w:val="24"/>
          <w:lang w:val="es-ES"/>
        </w:rPr>
      </w:pPr>
      <w:r w:rsidRPr="00371C4E">
        <w:rPr>
          <w:rFonts w:ascii="Verdana" w:hAnsi="Verdana"/>
          <w:sz w:val="24"/>
          <w:szCs w:val="24"/>
          <w:lang w:val="es-ES"/>
        </w:rPr>
        <w:br/>
      </w:r>
    </w:p>
    <w:p w14:paraId="1DB16B62" w14:textId="493FBBED" w:rsidR="007E4A7B" w:rsidRDefault="008B6160" w:rsidP="007F50B5">
      <w:pPr>
        <w:spacing w:after="120" w:line="240" w:lineRule="auto"/>
        <w:jc w:val="both"/>
        <w:rPr>
          <w:rFonts w:ascii="Verdana" w:hAnsi="Verdana"/>
          <w:sz w:val="24"/>
          <w:szCs w:val="24"/>
          <w:lang w:val="es-ES"/>
        </w:rPr>
      </w:pPr>
      <w:r w:rsidRPr="00371C4E">
        <w:rPr>
          <w:rFonts w:ascii="Verdana" w:hAnsi="Verdana"/>
          <w:sz w:val="24"/>
          <w:szCs w:val="24"/>
          <w:lang w:val="es-ES"/>
        </w:rPr>
        <w:t>F</w:t>
      </w:r>
      <w:r w:rsidR="007F50B5">
        <w:rPr>
          <w:rFonts w:ascii="Verdana" w:hAnsi="Verdana"/>
          <w:sz w:val="24"/>
          <w:szCs w:val="24"/>
          <w:lang w:val="es-ES"/>
        </w:rPr>
        <w:t>irma:</w:t>
      </w:r>
      <w:r w:rsidRPr="00371C4E">
        <w:rPr>
          <w:rFonts w:ascii="Verdana" w:hAnsi="Verdana"/>
          <w:sz w:val="24"/>
          <w:szCs w:val="24"/>
          <w:lang w:val="es-ES"/>
        </w:rPr>
        <w:br/>
        <w:t>[</w:t>
      </w:r>
      <w:r w:rsidRPr="00371C4E">
        <w:rPr>
          <w:rFonts w:ascii="Verdana" w:hAnsi="Verdana"/>
          <w:sz w:val="24"/>
          <w:szCs w:val="24"/>
          <w:highlight w:val="lightGray"/>
          <w:lang w:val="es-ES"/>
        </w:rPr>
        <w:t>Nombre y apellidos</w:t>
      </w:r>
      <w:r w:rsidRPr="00371C4E">
        <w:rPr>
          <w:rFonts w:ascii="Verdana" w:hAnsi="Verdana"/>
          <w:sz w:val="24"/>
          <w:szCs w:val="24"/>
          <w:lang w:val="es-ES"/>
        </w:rPr>
        <w:t>]</w:t>
      </w:r>
    </w:p>
    <w:p w14:paraId="57D29000" w14:textId="3A7144C6" w:rsidR="00843CE4" w:rsidRPr="00371C4E" w:rsidRDefault="008B6160" w:rsidP="007F50B5">
      <w:pPr>
        <w:spacing w:after="120" w:line="240" w:lineRule="auto"/>
        <w:jc w:val="both"/>
        <w:rPr>
          <w:rFonts w:ascii="Verdana" w:hAnsi="Verdana"/>
          <w:sz w:val="24"/>
          <w:szCs w:val="24"/>
          <w:lang w:val="es-ES"/>
        </w:rPr>
      </w:pPr>
      <w:r w:rsidRPr="00371C4E">
        <w:rPr>
          <w:rFonts w:ascii="Verdana" w:hAnsi="Verdana"/>
          <w:sz w:val="24"/>
          <w:szCs w:val="24"/>
          <w:lang w:val="es-ES"/>
        </w:rPr>
        <w:t>[</w:t>
      </w:r>
      <w:r w:rsidRPr="00371C4E">
        <w:rPr>
          <w:rFonts w:ascii="Verdana" w:hAnsi="Verdana"/>
          <w:sz w:val="24"/>
          <w:szCs w:val="24"/>
          <w:highlight w:val="lightGray"/>
          <w:lang w:val="es-ES"/>
        </w:rPr>
        <w:t>DNI</w:t>
      </w:r>
      <w:r w:rsidRPr="00371C4E">
        <w:rPr>
          <w:rFonts w:ascii="Verdana" w:hAnsi="Verdana"/>
          <w:sz w:val="24"/>
          <w:szCs w:val="24"/>
          <w:lang w:val="es-ES"/>
        </w:rPr>
        <w:t>]</w:t>
      </w:r>
    </w:p>
    <w:p w14:paraId="28820290" w14:textId="26E4A230" w:rsidR="008E559C" w:rsidRPr="00371C4E" w:rsidRDefault="008E559C" w:rsidP="001C3CE3">
      <w:pPr>
        <w:jc w:val="both"/>
        <w:rPr>
          <w:rFonts w:ascii="Verdana" w:hAnsi="Verdana"/>
          <w:sz w:val="24"/>
          <w:szCs w:val="24"/>
          <w:lang w:val="es-ES"/>
        </w:rPr>
      </w:pPr>
    </w:p>
    <w:sectPr w:rsidR="008E559C" w:rsidRPr="00371C4E" w:rsidSect="005F0A5D">
      <w:headerReference w:type="even" r:id="rId8"/>
      <w:headerReference w:type="default" r:id="rId9"/>
      <w:footerReference w:type="even" r:id="rId10"/>
      <w:footerReference w:type="default" r:id="rId11"/>
      <w:headerReference w:type="first" r:id="rId12"/>
      <w:footerReference w:type="first" r:id="rId13"/>
      <w:pgSz w:w="12240" w:h="15840"/>
      <w:pgMar w:top="1135" w:right="1800" w:bottom="1701"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93DA" w14:textId="77777777" w:rsidR="00A93353" w:rsidRDefault="00A93353" w:rsidP="00167AFD">
      <w:pPr>
        <w:spacing w:after="0" w:line="240" w:lineRule="auto"/>
      </w:pPr>
      <w:r>
        <w:separator/>
      </w:r>
    </w:p>
  </w:endnote>
  <w:endnote w:type="continuationSeparator" w:id="0">
    <w:p w14:paraId="403C848A" w14:textId="77777777" w:rsidR="00A93353" w:rsidRDefault="00A93353" w:rsidP="0016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A00D" w14:textId="77777777" w:rsidR="00167AFD" w:rsidRDefault="00167A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47029"/>
      <w:docPartObj>
        <w:docPartGallery w:val="Page Numbers (Bottom of Page)"/>
        <w:docPartUnique/>
      </w:docPartObj>
    </w:sdtPr>
    <w:sdtEndPr/>
    <w:sdtContent>
      <w:p w14:paraId="2B6292C4" w14:textId="02543911" w:rsidR="00167AFD" w:rsidRDefault="00167AFD">
        <w:pPr>
          <w:pStyle w:val="Piedepgina"/>
          <w:jc w:val="right"/>
        </w:pPr>
        <w:r>
          <w:fldChar w:fldCharType="begin"/>
        </w:r>
        <w:r>
          <w:instrText>PAGE   \* MERGEFORMAT</w:instrText>
        </w:r>
        <w:r>
          <w:fldChar w:fldCharType="separate"/>
        </w:r>
        <w:r>
          <w:rPr>
            <w:lang w:val="es-ES"/>
          </w:rPr>
          <w:t>2</w:t>
        </w:r>
        <w:r>
          <w:fldChar w:fldCharType="end"/>
        </w:r>
      </w:p>
    </w:sdtContent>
  </w:sdt>
  <w:p w14:paraId="0471C497" w14:textId="77777777" w:rsidR="00167AFD" w:rsidRDefault="00167AF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1D7F" w14:textId="77777777" w:rsidR="00167AFD" w:rsidRDefault="00167A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3FF7C" w14:textId="77777777" w:rsidR="00A93353" w:rsidRDefault="00A93353" w:rsidP="00167AFD">
      <w:pPr>
        <w:spacing w:after="0" w:line="240" w:lineRule="auto"/>
      </w:pPr>
      <w:r>
        <w:separator/>
      </w:r>
    </w:p>
  </w:footnote>
  <w:footnote w:type="continuationSeparator" w:id="0">
    <w:p w14:paraId="5049679B" w14:textId="77777777" w:rsidR="00A93353" w:rsidRDefault="00A93353" w:rsidP="0016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E8E4" w14:textId="77777777" w:rsidR="00167AFD" w:rsidRDefault="00167A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9E01" w14:textId="77777777" w:rsidR="00167AFD" w:rsidRDefault="00167AF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01FC" w14:textId="77777777" w:rsidR="00167AFD" w:rsidRDefault="00167A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529180844">
    <w:abstractNumId w:val="8"/>
  </w:num>
  <w:num w:numId="2" w16cid:durableId="2128087331">
    <w:abstractNumId w:val="6"/>
  </w:num>
  <w:num w:numId="3" w16cid:durableId="428621017">
    <w:abstractNumId w:val="5"/>
  </w:num>
  <w:num w:numId="4" w16cid:durableId="115685798">
    <w:abstractNumId w:val="4"/>
  </w:num>
  <w:num w:numId="5" w16cid:durableId="1638296919">
    <w:abstractNumId w:val="7"/>
  </w:num>
  <w:num w:numId="6" w16cid:durableId="924613784">
    <w:abstractNumId w:val="3"/>
  </w:num>
  <w:num w:numId="7" w16cid:durableId="867446492">
    <w:abstractNumId w:val="2"/>
  </w:num>
  <w:num w:numId="8" w16cid:durableId="1203206795">
    <w:abstractNumId w:val="1"/>
  </w:num>
  <w:num w:numId="9" w16cid:durableId="71015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593"/>
    <w:rsid w:val="000E2A21"/>
    <w:rsid w:val="0015074B"/>
    <w:rsid w:val="00151FA5"/>
    <w:rsid w:val="00167AFD"/>
    <w:rsid w:val="0017212E"/>
    <w:rsid w:val="001C3CE3"/>
    <w:rsid w:val="00287E5B"/>
    <w:rsid w:val="0029639D"/>
    <w:rsid w:val="002E33A1"/>
    <w:rsid w:val="003212D3"/>
    <w:rsid w:val="00326F90"/>
    <w:rsid w:val="00336166"/>
    <w:rsid w:val="00371C4E"/>
    <w:rsid w:val="00393146"/>
    <w:rsid w:val="003D65C4"/>
    <w:rsid w:val="00404882"/>
    <w:rsid w:val="004A1DCB"/>
    <w:rsid w:val="004C63D7"/>
    <w:rsid w:val="005156E9"/>
    <w:rsid w:val="0054164B"/>
    <w:rsid w:val="00562A40"/>
    <w:rsid w:val="0056640B"/>
    <w:rsid w:val="005A2B30"/>
    <w:rsid w:val="005F0A5D"/>
    <w:rsid w:val="006D5C0D"/>
    <w:rsid w:val="006F2882"/>
    <w:rsid w:val="007E4A7B"/>
    <w:rsid w:val="007F50B5"/>
    <w:rsid w:val="0081092B"/>
    <w:rsid w:val="00817D84"/>
    <w:rsid w:val="00843CE4"/>
    <w:rsid w:val="008B6160"/>
    <w:rsid w:val="008E1BCC"/>
    <w:rsid w:val="008E559C"/>
    <w:rsid w:val="009E1175"/>
    <w:rsid w:val="00A53ABB"/>
    <w:rsid w:val="00A93353"/>
    <w:rsid w:val="00A96A34"/>
    <w:rsid w:val="00AA1D8D"/>
    <w:rsid w:val="00AD1AC3"/>
    <w:rsid w:val="00B25660"/>
    <w:rsid w:val="00B47730"/>
    <w:rsid w:val="00B509AC"/>
    <w:rsid w:val="00BE6CF0"/>
    <w:rsid w:val="00BF3E59"/>
    <w:rsid w:val="00CB0664"/>
    <w:rsid w:val="00CE51BC"/>
    <w:rsid w:val="00D67252"/>
    <w:rsid w:val="00DA52F0"/>
    <w:rsid w:val="00E01154"/>
    <w:rsid w:val="00E5654B"/>
    <w:rsid w:val="00F36252"/>
    <w:rsid w:val="00F765FA"/>
    <w:rsid w:val="00F9121B"/>
    <w:rsid w:val="00FA4F29"/>
    <w:rsid w:val="00FC693F"/>
    <w:rsid w:val="00FE6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A22FF5"/>
  <w14:defaultImageDpi w14:val="300"/>
  <w15:docId w15:val="{FB5C7478-09B0-41DA-A397-D0482A2D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4520</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Elena Fernández - FEDMA</cp:lastModifiedBy>
  <cp:revision>2</cp:revision>
  <dcterms:created xsi:type="dcterms:W3CDTF">2025-10-30T09:36:00Z</dcterms:created>
  <dcterms:modified xsi:type="dcterms:W3CDTF">2025-10-30T09:36:00Z</dcterms:modified>
  <cp:category/>
</cp:coreProperties>
</file>